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481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6237"/>
      </w:tblGrid>
      <w:tr w:rsidR="00107735" w:rsidRPr="00A66AF5" w:rsidTr="00A1618A">
        <w:trPr>
          <w:trHeight w:val="409"/>
        </w:trPr>
        <w:tc>
          <w:tcPr>
            <w:tcW w:w="704" w:type="dxa"/>
            <w:hideMark/>
          </w:tcPr>
          <w:p w:rsidR="00107735" w:rsidRPr="00A66AF5" w:rsidRDefault="00107735" w:rsidP="00107735">
            <w:pPr>
              <w:ind w:left="-113" w:hanging="45"/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hideMark/>
          </w:tcPr>
          <w:p w:rsidR="00107735" w:rsidRPr="00A66AF5" w:rsidRDefault="00107735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Поставленный вопрос</w:t>
            </w:r>
          </w:p>
        </w:tc>
        <w:tc>
          <w:tcPr>
            <w:tcW w:w="6237" w:type="dxa"/>
            <w:hideMark/>
          </w:tcPr>
          <w:p w:rsidR="00107735" w:rsidRPr="00A66AF5" w:rsidRDefault="00107735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Представленные предложения по решению вопроса</w:t>
            </w:r>
          </w:p>
        </w:tc>
      </w:tr>
      <w:tr w:rsidR="00107735" w:rsidRPr="00A66AF5" w:rsidTr="00A1618A">
        <w:trPr>
          <w:trHeight w:val="1875"/>
        </w:trPr>
        <w:tc>
          <w:tcPr>
            <w:tcW w:w="704" w:type="dxa"/>
          </w:tcPr>
          <w:p w:rsidR="00107735" w:rsidRPr="00A66AF5" w:rsidRDefault="00107735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A1618A" w:rsidRPr="00A66AF5" w:rsidRDefault="00A1618A" w:rsidP="00A161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Я сотрудник организации, осуществляющей эксплуатацию опасного производственного объекта, а именно: «Сеть газопотребления предприятия». В ближайшее время планируем провести замену регулятора давления газа ДУ 80 давлением 0,6 МПа путем на новое. В связи с чем у меня вопрос: Нужно ли разрабатывать какую-либо проектную документацию в связи с заменого регулятора давления газа ДУ 80 давлением 0,6 МПа, если нужно, то какую?</w:t>
            </w:r>
          </w:p>
          <w:p w:rsidR="00107735" w:rsidRPr="00A66AF5" w:rsidRDefault="00107735" w:rsidP="00107735">
            <w:pPr>
              <w:ind w:left="-25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   Северо-Уральское управление Федеральной службы по экологическому, технологическому и атомному надзору (далее – Управление), рассмотрев Ваше обращение, сообщает.</w:t>
            </w:r>
          </w:p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В соответствии со статьей 1 Федерального закона от 21 июля 1997 г. № 116 </w:t>
            </w:r>
          </w:p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«О промышленной безопасности опасных производственных объектов» (далее – Федеральный закон 116-ФЗ), техническое перевооружение опасного производственного объекта - это изменение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опасном производственном объекте технических устройств.</w:t>
            </w:r>
          </w:p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 Согласно пункта 1 статьи 8 Федерального закона 116-ФЗ, техническое перевооружение, капитальный ремонт, консервация и ликвидация опасного производственного объекта осуществляются на основании документации, разработанной в порядке, установленном настоящим Федеральным законом, </w:t>
            </w:r>
          </w:p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с учетом законодательства о градостроительной деятельности. Если техническое перевооружение опасного производственного объекта осуществляется одновременно с его реконструкцией, документация на техническое перевооружение такого объекта входит в состав соответствующей проектной документации. Документация на техническое перевооружение опасного производственного объекта подлежит экспертизе промышленной безопасности </w:t>
            </w:r>
          </w:p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деятельности. Не допускаются техническое перевооружение, консервация и ликвидация опасного производственного объекта без положительного заключения экспертизы промышленной безопасности, которое в установленном порядке внесено в реестр заключений экспертизы промышленной безопасности, либо, если документация на техническое перевооружение опасного производственного объекта входит в состав проектной документации такого объекта, без положительного заключения экспертизы проектной документации такого объекта. </w:t>
            </w:r>
          </w:p>
          <w:p w:rsidR="00107735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На основании изложенного замена применяемых на опасном производственном объекте технических устройств является техническим перевооружением опасного производственного объекта.</w:t>
            </w:r>
          </w:p>
        </w:tc>
      </w:tr>
      <w:tr w:rsidR="00107735" w:rsidRPr="00A66AF5" w:rsidTr="00A1618A">
        <w:trPr>
          <w:trHeight w:val="4500"/>
        </w:trPr>
        <w:tc>
          <w:tcPr>
            <w:tcW w:w="704" w:type="dxa"/>
          </w:tcPr>
          <w:p w:rsidR="00107735" w:rsidRPr="00A66AF5" w:rsidRDefault="00107735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</w:tcPr>
          <w:p w:rsidR="00107735" w:rsidRPr="00A66AF5" w:rsidRDefault="00A1618A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  В связи с изменениями законодательства о градостроительной деятельности прошу разъяснить какими сроками ограничена проверка объекта капитального строительства в рамках федерального государственного строительного надзора?</w:t>
            </w:r>
          </w:p>
        </w:tc>
        <w:tc>
          <w:tcPr>
            <w:tcW w:w="6237" w:type="dxa"/>
          </w:tcPr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В соответствии с пунктом 26 «Положения о федеральном государственном строительном надзоре», утверждённого Постановлением Правительства Российской Федерации от 30.06.2021 № 1087, срок проведения документарной проверки не может превышать срок, установленный статьей 72 Федерального закона "О государственном контроле (надзоре) и муниципальном контроле в Российской Федерации".</w:t>
            </w:r>
          </w:p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Срок проведения выездной проверки не может превышать 10 рабочих дней.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      </w:r>
            <w:proofErr w:type="spellStart"/>
            <w:r w:rsidRPr="00A66AF5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A66AF5">
              <w:rPr>
                <w:rFonts w:ascii="Times New Roman" w:hAnsi="Times New Roman" w:cs="Times New Roman"/>
              </w:rPr>
      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      </w:r>
            <w:proofErr w:type="spellStart"/>
            <w:r w:rsidRPr="00A66AF5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A66AF5">
              <w:rPr>
                <w:rFonts w:ascii="Times New Roman" w:hAnsi="Times New Roman" w:cs="Times New Roman"/>
              </w:rPr>
              <w:t xml:space="preserve"> не может продолжаться более 40 часов.</w:t>
            </w:r>
          </w:p>
          <w:p w:rsidR="00A1618A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Срок проведения контрольного (надзорного) мероприятия может быть приостановлен руководителем (заместителем руководителя) Федеральной службы (ее территориального органа) на основании мотивированного представления должностных лиц, уполномоченных на проведение контрольного (надзорного) мероприятия, в случае, если срок осуществления экспертиз или испытаний превышает срок проведения контрольного (надзорного) мероприятия на срок осуществления экспертиз или испытаний.</w:t>
            </w:r>
          </w:p>
          <w:p w:rsidR="00107735" w:rsidRPr="00A66AF5" w:rsidRDefault="00107735" w:rsidP="00107735">
            <w:pPr>
              <w:rPr>
                <w:rFonts w:ascii="Times New Roman" w:hAnsi="Times New Roman" w:cs="Times New Roman"/>
              </w:rPr>
            </w:pPr>
          </w:p>
        </w:tc>
      </w:tr>
      <w:tr w:rsidR="00107735" w:rsidRPr="00A66AF5" w:rsidTr="00A1618A">
        <w:trPr>
          <w:trHeight w:val="692"/>
        </w:trPr>
        <w:tc>
          <w:tcPr>
            <w:tcW w:w="704" w:type="dxa"/>
          </w:tcPr>
          <w:p w:rsidR="00107735" w:rsidRPr="00A66AF5" w:rsidRDefault="00107735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07735" w:rsidRPr="00A66AF5" w:rsidRDefault="00A1618A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  В какой области аттестации: ТУ (технические устройства) или ЗС (здания и сооружения) должен быть аттестован эксперт при проведении экспертизы промышленной безопасности трубопровода пара и горячей воды. В ФНП, касающихся оборудования, работающего под избыточным давлением, нет чёткого определения: трубопровод пара и горячей воды – это техническое устройство или сооружение?</w:t>
            </w:r>
          </w:p>
        </w:tc>
        <w:tc>
          <w:tcPr>
            <w:tcW w:w="6237" w:type="dxa"/>
          </w:tcPr>
          <w:p w:rsidR="00107735" w:rsidRPr="00A66AF5" w:rsidRDefault="00A1618A" w:rsidP="00A1618A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  Перечень областей аттестации экспертов в области промышленной безопасности утверждён приказом Ростехнадзора от 09.09.2015 № 355 (в ред. от 15.06.2017). В соответствии с пунктом 17 федеральных норм и правил в области промышленной безопасности «Правила проведения экспертизы промышленной безопасности», утверждённых приказом Ростехнадзора от 14.11.2013 № 538 (в ред. от 28.07.2016), приказом руководителя организации, проводящей экспертизу, определяется эксперт или группа экспертов, участвующих в проведении экспертизы.  Область аттестации определяется исходя из наименования объекта экспертизы, а также признаков опасности опасного производственного объекта (далее – ОПО), в состав которого входит объект экспертизы. Для проведения экспертизы промышленной безопасности оборудования, работающего под избыточным давлением (котлы, сосуды, трубопроводы пара и горячей воды), эксперт должен иметь аттестацию по области Э12ТУ при отсутствии на ОПО иных признаков опасности. В случае если согласно проектной документации трубопровод определяется в качестве системы, представляющей совокупность (комплект) труб, элементов, соединительных деталей и устройств, несущих конструкций (опоры, эстакады), эксперту или группе экспертов дополнительно необходима аттестация по области Э123С.</w:t>
            </w:r>
          </w:p>
        </w:tc>
      </w:tr>
      <w:tr w:rsidR="00107735" w:rsidRPr="00A66AF5" w:rsidTr="00A1618A">
        <w:trPr>
          <w:trHeight w:val="841"/>
        </w:trPr>
        <w:tc>
          <w:tcPr>
            <w:tcW w:w="704" w:type="dxa"/>
          </w:tcPr>
          <w:p w:rsidR="00107735" w:rsidRPr="00A66AF5" w:rsidRDefault="00107735" w:rsidP="00107735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107735" w:rsidRPr="00A66AF5" w:rsidRDefault="007A17BD" w:rsidP="007A17BD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  </w:t>
            </w:r>
            <w:r w:rsidR="00A1618A" w:rsidRPr="00A66AF5">
              <w:rPr>
                <w:rFonts w:ascii="Times New Roman" w:hAnsi="Times New Roman" w:cs="Times New Roman"/>
              </w:rPr>
              <w:t>Как узнать, есть ли у Управляющей компании лицензия на эксплуатацию котельной, если управляющая компания эту информацию не дает.</w:t>
            </w:r>
          </w:p>
        </w:tc>
        <w:tc>
          <w:tcPr>
            <w:tcW w:w="6237" w:type="dxa"/>
          </w:tcPr>
          <w:p w:rsidR="007A17BD" w:rsidRPr="00A66AF5" w:rsidRDefault="007A17BD" w:rsidP="007A17BD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 В соответствии с пунктом 7 статьи 21 Федерального закона от 4 мая 2011 г. № 99-ФЗ «О лицензировании отдельных видов деятельности», информация </w:t>
            </w:r>
          </w:p>
          <w:p w:rsidR="007A17BD" w:rsidRPr="00A66AF5" w:rsidRDefault="007A17BD" w:rsidP="007A17BD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по вопросам лицензирования (в том числе сведения, содержащиеся в реестрах лицензий) является открытой,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      </w:r>
          </w:p>
          <w:p w:rsidR="007A17BD" w:rsidRPr="00A66AF5" w:rsidRDefault="007A17BD" w:rsidP="007A17BD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«Интернет», в том числе в форме открытых данных. </w:t>
            </w:r>
          </w:p>
          <w:p w:rsidR="007A17BD" w:rsidRPr="00A66AF5" w:rsidRDefault="007A17BD" w:rsidP="007A17BD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Данные о лицензиях, содержащиеся в соответствующих реестрах лицензий, получают статус открытых данных при внесении соответствующей записи </w:t>
            </w:r>
          </w:p>
          <w:p w:rsidR="007A17BD" w:rsidRPr="00A66AF5" w:rsidRDefault="007A17BD" w:rsidP="007A17BD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 xml:space="preserve">в соответствующий реестр, который ведется в электронном виде и размещены </w:t>
            </w:r>
          </w:p>
          <w:p w:rsidR="00107735" w:rsidRPr="00A66AF5" w:rsidRDefault="007A17BD" w:rsidP="007A17BD">
            <w:pPr>
              <w:rPr>
                <w:rFonts w:ascii="Times New Roman" w:hAnsi="Times New Roman" w:cs="Times New Roman"/>
              </w:rPr>
            </w:pPr>
            <w:r w:rsidRPr="00A66AF5">
              <w:rPr>
                <w:rFonts w:ascii="Times New Roman" w:hAnsi="Times New Roman" w:cs="Times New Roman"/>
              </w:rPr>
              <w:t>на сайте Федеральной службы по экологическому, технологическому и атомному надзору (www.gosnadzor.ru).</w:t>
            </w:r>
          </w:p>
        </w:tc>
      </w:tr>
    </w:tbl>
    <w:p w:rsidR="009D0FEA" w:rsidRPr="00A66AF5" w:rsidRDefault="00A66A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0FEA" w:rsidRPr="00A6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35"/>
    <w:rsid w:val="00107735"/>
    <w:rsid w:val="002A49A9"/>
    <w:rsid w:val="00414982"/>
    <w:rsid w:val="005B2F70"/>
    <w:rsid w:val="007A17BD"/>
    <w:rsid w:val="00837F95"/>
    <w:rsid w:val="00963F27"/>
    <w:rsid w:val="009F2B9E"/>
    <w:rsid w:val="00A1618A"/>
    <w:rsid w:val="00A66AF5"/>
    <w:rsid w:val="00BA588A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FEC75-FDF5-481E-8556-B552372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35"/>
  </w:style>
  <w:style w:type="paragraph" w:styleId="1">
    <w:name w:val="heading 1"/>
    <w:basedOn w:val="a"/>
    <w:next w:val="a"/>
    <w:link w:val="10"/>
    <w:uiPriority w:val="9"/>
    <w:qFormat/>
    <w:rsid w:val="00A16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61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6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Алена Александровна</dc:creator>
  <cp:keywords/>
  <dc:description/>
  <cp:lastModifiedBy>Родионова Алена Александровна</cp:lastModifiedBy>
  <cp:revision>4</cp:revision>
  <dcterms:created xsi:type="dcterms:W3CDTF">2023-06-05T10:14:00Z</dcterms:created>
  <dcterms:modified xsi:type="dcterms:W3CDTF">2023-10-27T08:52:00Z</dcterms:modified>
</cp:coreProperties>
</file>